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A8AC" w14:textId="72A0AED9" w:rsidR="0001628C" w:rsidRPr="00777179" w:rsidRDefault="003D5E89">
      <w:pPr>
        <w:pStyle w:val="Title"/>
        <w:rPr>
          <w:sz w:val="24"/>
          <w:szCs w:val="24"/>
        </w:rPr>
      </w:pPr>
      <w:r w:rsidRPr="00777179">
        <w:rPr>
          <w:sz w:val="24"/>
          <w:szCs w:val="24"/>
        </w:rPr>
        <w:t>Prioritization</w:t>
      </w:r>
      <w:r w:rsidRPr="00777179">
        <w:rPr>
          <w:spacing w:val="-6"/>
          <w:sz w:val="24"/>
          <w:szCs w:val="24"/>
        </w:rPr>
        <w:t xml:space="preserve"> </w:t>
      </w:r>
      <w:r w:rsidRPr="00777179">
        <w:rPr>
          <w:sz w:val="24"/>
          <w:szCs w:val="24"/>
        </w:rPr>
        <w:t>Guidance</w:t>
      </w:r>
      <w:r w:rsidRPr="00777179">
        <w:rPr>
          <w:spacing w:val="-3"/>
          <w:sz w:val="24"/>
          <w:szCs w:val="24"/>
        </w:rPr>
        <w:t xml:space="preserve"> </w:t>
      </w:r>
      <w:r w:rsidRPr="00777179">
        <w:rPr>
          <w:sz w:val="24"/>
          <w:szCs w:val="24"/>
        </w:rPr>
        <w:t>for</w:t>
      </w:r>
      <w:r w:rsidRPr="00777179">
        <w:rPr>
          <w:spacing w:val="-4"/>
          <w:sz w:val="24"/>
          <w:szCs w:val="24"/>
        </w:rPr>
        <w:t xml:space="preserve"> </w:t>
      </w:r>
      <w:r w:rsidRPr="00777179">
        <w:rPr>
          <w:sz w:val="24"/>
          <w:szCs w:val="24"/>
        </w:rPr>
        <w:t>Seafood</w:t>
      </w:r>
      <w:r w:rsidRPr="00777179">
        <w:rPr>
          <w:spacing w:val="-3"/>
          <w:sz w:val="24"/>
          <w:szCs w:val="24"/>
        </w:rPr>
        <w:t xml:space="preserve"> </w:t>
      </w:r>
      <w:r w:rsidR="00777179">
        <w:rPr>
          <w:spacing w:val="-3"/>
          <w:sz w:val="24"/>
          <w:szCs w:val="24"/>
        </w:rPr>
        <w:t>I</w:t>
      </w:r>
      <w:r w:rsidRPr="00777179">
        <w:rPr>
          <w:sz w:val="24"/>
          <w:szCs w:val="24"/>
        </w:rPr>
        <w:t>nvestigations</w:t>
      </w:r>
    </w:p>
    <w:p w14:paraId="2F7145F3" w14:textId="02449B0C" w:rsidR="00777179" w:rsidRPr="00777179" w:rsidRDefault="00777179">
      <w:pPr>
        <w:pStyle w:val="Title"/>
        <w:rPr>
          <w:b w:val="0"/>
          <w:bCs w:val="0"/>
        </w:rPr>
      </w:pPr>
      <w:r w:rsidRPr="00777179">
        <w:rPr>
          <w:b w:val="0"/>
          <w:bCs w:val="0"/>
        </w:rPr>
        <w:t>Centers for Disease Control and Prevention, Enteric Diseases Epidemiology Branch</w:t>
      </w:r>
    </w:p>
    <w:p w14:paraId="7FD88A6C" w14:textId="77777777" w:rsidR="0001628C" w:rsidRDefault="0001628C">
      <w:pPr>
        <w:pStyle w:val="BodyText"/>
        <w:spacing w:before="9"/>
        <w:rPr>
          <w:b/>
          <w:sz w:val="19"/>
        </w:rPr>
      </w:pPr>
    </w:p>
    <w:p w14:paraId="31435D6D" w14:textId="77777777" w:rsidR="0001628C" w:rsidRDefault="003D5E89">
      <w:pPr>
        <w:pStyle w:val="BodyText"/>
        <w:spacing w:line="276" w:lineRule="auto"/>
        <w:ind w:left="100" w:right="192"/>
      </w:pPr>
      <w:r>
        <w:t>This guidance document is intended to help state and local health departments prioritize seafood investigations</w:t>
      </w:r>
      <w:r>
        <w:rPr>
          <w:spacing w:val="-47"/>
        </w:rPr>
        <w:t xml:space="preserve"> </w:t>
      </w:r>
      <w:r>
        <w:t>in cases of vibriosis in which multiple seafood exposures are reported. CDC recommends that all reported</w:t>
      </w:r>
      <w:r>
        <w:rPr>
          <w:spacing w:val="1"/>
        </w:rPr>
        <w:t xml:space="preserve"> </w:t>
      </w:r>
      <w:r>
        <w:t>seafood exposures are investigated when possible.</w:t>
      </w:r>
      <w:r>
        <w:rPr>
          <w:spacing w:val="1"/>
        </w:rPr>
        <w:t xml:space="preserve"> </w:t>
      </w:r>
      <w:r>
        <w:t>If investigation of all seafood consumption is beyond the</w:t>
      </w:r>
      <w:r>
        <w:rPr>
          <w:spacing w:val="1"/>
        </w:rPr>
        <w:t xml:space="preserve"> </w:t>
      </w:r>
      <w:r>
        <w:t>capacity or resources of the investigating agency, the following chart should be used to help determine which</w:t>
      </w:r>
      <w:r>
        <w:rPr>
          <w:spacing w:val="1"/>
        </w:rPr>
        <w:t xml:space="preserve"> </w:t>
      </w:r>
      <w:r>
        <w:t>seafood investigations to prioritize. Seafood investigations for culture-confirmed cases of vibriosis should be</w:t>
      </w:r>
      <w:r>
        <w:rPr>
          <w:spacing w:val="1"/>
        </w:rPr>
        <w:t xml:space="preserve"> </w:t>
      </w:r>
      <w:r>
        <w:t>prioritized</w:t>
      </w:r>
      <w:r>
        <w:rPr>
          <w:spacing w:val="-2"/>
        </w:rPr>
        <w:t xml:space="preserve"> </w:t>
      </w:r>
      <w:r>
        <w:t>over probable cases.</w:t>
      </w:r>
    </w:p>
    <w:p w14:paraId="0063F2BF" w14:textId="77777777" w:rsidR="0001628C" w:rsidRDefault="0001628C">
      <w:pPr>
        <w:pStyle w:val="BodyText"/>
        <w:spacing w:before="3"/>
        <w:rPr>
          <w:sz w:val="16"/>
        </w:rPr>
      </w:pPr>
    </w:p>
    <w:p w14:paraId="15643C31" w14:textId="77777777" w:rsidR="0001628C" w:rsidRDefault="003D5E89">
      <w:pPr>
        <w:pStyle w:val="BodyText"/>
        <w:spacing w:line="276" w:lineRule="auto"/>
        <w:ind w:left="100" w:right="125"/>
      </w:pPr>
      <w:r>
        <w:t xml:space="preserve">This guidance takes into account single seafood exposure data from Cholera and Other </w:t>
      </w:r>
      <w:r>
        <w:rPr>
          <w:i/>
        </w:rPr>
        <w:t xml:space="preserve">Vibrio </w:t>
      </w:r>
      <w:r>
        <w:t>Illness Surveillance</w:t>
      </w:r>
      <w:r>
        <w:rPr>
          <w:spacing w:val="-47"/>
        </w:rPr>
        <w:t xml:space="preserve"> </w:t>
      </w:r>
      <w:r>
        <w:t>(COVIS) system and likelihood of successful traceback to identify sources of seafood. The table below lists the</w:t>
      </w:r>
      <w:r>
        <w:rPr>
          <w:spacing w:val="1"/>
        </w:rPr>
        <w:t xml:space="preserve"> </w:t>
      </w:r>
      <w:r>
        <w:t>CDC’s recommendation for priority of seafood investigations, with examples of each seafood category. The</w:t>
      </w:r>
      <w:r>
        <w:rPr>
          <w:spacing w:val="1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 upon</w:t>
      </w:r>
      <w:r>
        <w:rPr>
          <w:spacing w:val="-3"/>
        </w:rPr>
        <w:t xml:space="preserve"> </w:t>
      </w:r>
      <w:r>
        <w:t>the type</w:t>
      </w:r>
      <w:r>
        <w:rPr>
          <w:spacing w:val="-2"/>
        </w:rPr>
        <w:t xml:space="preserve"> </w:t>
      </w:r>
      <w:r>
        <w:t>of seafood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method.</w:t>
      </w:r>
    </w:p>
    <w:p w14:paraId="4165DD1F" w14:textId="77777777" w:rsidR="0001628C" w:rsidRDefault="0001628C">
      <w:pPr>
        <w:pStyle w:val="BodyText"/>
        <w:rPr>
          <w:sz w:val="20"/>
        </w:rPr>
      </w:pPr>
    </w:p>
    <w:p w14:paraId="7BE0D4BE" w14:textId="77777777" w:rsidR="0001628C" w:rsidRDefault="0001628C">
      <w:pPr>
        <w:pStyle w:val="BodyText"/>
        <w:spacing w:before="4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3358"/>
        <w:gridCol w:w="3358"/>
      </w:tblGrid>
      <w:tr w:rsidR="00974591" w14:paraId="76E9DC58" w14:textId="77777777" w:rsidTr="00974591">
        <w:trPr>
          <w:trHeight w:val="537"/>
        </w:trPr>
        <w:tc>
          <w:tcPr>
            <w:tcW w:w="10072" w:type="dxa"/>
            <w:gridSpan w:val="3"/>
            <w:shd w:val="clear" w:color="auto" w:fill="D9D9D9"/>
            <w:vAlign w:val="center"/>
          </w:tcPr>
          <w:p w14:paraId="3BB05641" w14:textId="60693268" w:rsidR="00974591" w:rsidRDefault="00974591" w:rsidP="00974591">
            <w:pPr>
              <w:pStyle w:val="TableParagraph"/>
              <w:ind w:left="734" w:right="0"/>
              <w:rPr>
                <w:b/>
              </w:rPr>
            </w:pPr>
            <w:bookmarkStart w:id="0" w:name="_Hlk70579004"/>
            <w:r>
              <w:rPr>
                <w:b/>
              </w:rPr>
              <w:t>Prioritization Guidance for Seafood Investigations</w:t>
            </w:r>
          </w:p>
        </w:tc>
      </w:tr>
      <w:tr w:rsidR="0001628C" w14:paraId="646B8745" w14:textId="77777777">
        <w:trPr>
          <w:trHeight w:val="537"/>
        </w:trPr>
        <w:tc>
          <w:tcPr>
            <w:tcW w:w="3356" w:type="dxa"/>
            <w:shd w:val="clear" w:color="auto" w:fill="D9D9D9"/>
          </w:tcPr>
          <w:p w14:paraId="7B4E714F" w14:textId="77777777" w:rsidR="0001628C" w:rsidRPr="00974591" w:rsidRDefault="003D5E89">
            <w:pPr>
              <w:pStyle w:val="TableParagraph"/>
              <w:ind w:left="950" w:right="941"/>
              <w:rPr>
                <w:b/>
              </w:rPr>
            </w:pPr>
            <w:r w:rsidRPr="00974591">
              <w:rPr>
                <w:b/>
              </w:rPr>
              <w:t>Priority</w:t>
            </w:r>
            <w:r w:rsidRPr="00974591">
              <w:rPr>
                <w:b/>
                <w:spacing w:val="-2"/>
              </w:rPr>
              <w:t xml:space="preserve"> </w:t>
            </w:r>
            <w:r w:rsidRPr="00974591">
              <w:rPr>
                <w:b/>
              </w:rPr>
              <w:t>ranking</w:t>
            </w:r>
          </w:p>
        </w:tc>
        <w:tc>
          <w:tcPr>
            <w:tcW w:w="3358" w:type="dxa"/>
            <w:shd w:val="clear" w:color="auto" w:fill="D9D9D9"/>
          </w:tcPr>
          <w:p w14:paraId="0B5DE04F" w14:textId="77777777" w:rsidR="0001628C" w:rsidRPr="00974591" w:rsidRDefault="003D5E89">
            <w:pPr>
              <w:pStyle w:val="TableParagraph"/>
              <w:ind w:left="111"/>
              <w:rPr>
                <w:b/>
              </w:rPr>
            </w:pPr>
            <w:r w:rsidRPr="00974591">
              <w:rPr>
                <w:b/>
              </w:rPr>
              <w:t>Type</w:t>
            </w:r>
            <w:r w:rsidRPr="00974591">
              <w:rPr>
                <w:b/>
                <w:spacing w:val="-2"/>
              </w:rPr>
              <w:t xml:space="preserve"> </w:t>
            </w:r>
            <w:r w:rsidRPr="00974591">
              <w:rPr>
                <w:b/>
              </w:rPr>
              <w:t>of</w:t>
            </w:r>
            <w:r w:rsidRPr="00974591">
              <w:rPr>
                <w:b/>
                <w:spacing w:val="-3"/>
              </w:rPr>
              <w:t xml:space="preserve"> </w:t>
            </w:r>
            <w:r w:rsidRPr="00974591">
              <w:rPr>
                <w:b/>
              </w:rPr>
              <w:t>seafood</w:t>
            </w:r>
            <w:r w:rsidRPr="00974591">
              <w:rPr>
                <w:b/>
                <w:spacing w:val="-2"/>
              </w:rPr>
              <w:t xml:space="preserve"> </w:t>
            </w:r>
            <w:r w:rsidRPr="00974591">
              <w:rPr>
                <w:b/>
              </w:rPr>
              <w:t>and</w:t>
            </w:r>
            <w:r w:rsidRPr="00974591">
              <w:rPr>
                <w:b/>
                <w:spacing w:val="-2"/>
              </w:rPr>
              <w:t xml:space="preserve"> </w:t>
            </w:r>
            <w:r w:rsidRPr="00974591">
              <w:rPr>
                <w:b/>
              </w:rPr>
              <w:t>method</w:t>
            </w:r>
            <w:r w:rsidRPr="00974591">
              <w:rPr>
                <w:b/>
                <w:spacing w:val="-1"/>
              </w:rPr>
              <w:t xml:space="preserve"> </w:t>
            </w:r>
            <w:r w:rsidRPr="00974591">
              <w:rPr>
                <w:b/>
              </w:rPr>
              <w:t>of</w:t>
            </w:r>
          </w:p>
          <w:p w14:paraId="2B72ECE0" w14:textId="77777777" w:rsidR="0001628C" w:rsidRPr="00974591" w:rsidRDefault="003D5E89">
            <w:pPr>
              <w:pStyle w:val="TableParagraph"/>
              <w:spacing w:line="249" w:lineRule="exact"/>
              <w:ind w:right="104"/>
              <w:rPr>
                <w:b/>
              </w:rPr>
            </w:pPr>
            <w:r w:rsidRPr="00974591">
              <w:rPr>
                <w:b/>
              </w:rPr>
              <w:t>preparation</w:t>
            </w:r>
          </w:p>
        </w:tc>
        <w:tc>
          <w:tcPr>
            <w:tcW w:w="3358" w:type="dxa"/>
            <w:shd w:val="clear" w:color="auto" w:fill="D9D9D9"/>
          </w:tcPr>
          <w:p w14:paraId="72F60D5C" w14:textId="77777777" w:rsidR="0001628C" w:rsidRPr="00974591" w:rsidRDefault="003D5E89">
            <w:pPr>
              <w:pStyle w:val="TableParagraph"/>
              <w:ind w:left="734" w:right="0"/>
              <w:jc w:val="left"/>
              <w:rPr>
                <w:b/>
              </w:rPr>
            </w:pPr>
            <w:r w:rsidRPr="00974591">
              <w:rPr>
                <w:b/>
              </w:rPr>
              <w:t>Examples</w:t>
            </w:r>
            <w:r w:rsidRPr="00974591">
              <w:rPr>
                <w:b/>
                <w:spacing w:val="-2"/>
              </w:rPr>
              <w:t xml:space="preserve"> </w:t>
            </w:r>
            <w:r w:rsidRPr="00974591">
              <w:rPr>
                <w:b/>
              </w:rPr>
              <w:t>of</w:t>
            </w:r>
            <w:r w:rsidRPr="00974591">
              <w:rPr>
                <w:b/>
                <w:spacing w:val="-3"/>
              </w:rPr>
              <w:t xml:space="preserve"> </w:t>
            </w:r>
            <w:r w:rsidRPr="00974591">
              <w:rPr>
                <w:b/>
              </w:rPr>
              <w:t>seafood</w:t>
            </w:r>
          </w:p>
        </w:tc>
      </w:tr>
      <w:tr w:rsidR="0001628C" w14:paraId="1FE8CC68" w14:textId="77777777">
        <w:trPr>
          <w:trHeight w:val="805"/>
        </w:trPr>
        <w:tc>
          <w:tcPr>
            <w:tcW w:w="3356" w:type="dxa"/>
          </w:tcPr>
          <w:p w14:paraId="0C313DDB" w14:textId="77777777" w:rsidR="0001628C" w:rsidRDefault="003D5E89">
            <w:pPr>
              <w:pStyle w:val="TableParagraph"/>
              <w:ind w:left="950" w:right="941"/>
            </w:pPr>
            <w:r>
              <w:t>First</w:t>
            </w:r>
          </w:p>
        </w:tc>
        <w:tc>
          <w:tcPr>
            <w:tcW w:w="3358" w:type="dxa"/>
          </w:tcPr>
          <w:p w14:paraId="581EC197" w14:textId="77777777" w:rsidR="0001628C" w:rsidRDefault="003D5E89">
            <w:pPr>
              <w:pStyle w:val="TableParagraph"/>
            </w:pPr>
            <w:r>
              <w:t>Raw</w:t>
            </w:r>
            <w:r>
              <w:rPr>
                <w:spacing w:val="-1"/>
              </w:rPr>
              <w:t xml:space="preserve"> </w:t>
            </w:r>
            <w:r>
              <w:t>bivalve</w:t>
            </w:r>
            <w:r>
              <w:rPr>
                <w:spacing w:val="-5"/>
              </w:rPr>
              <w:t xml:space="preserve"> </w:t>
            </w:r>
            <w:r>
              <w:t>molluscan</w:t>
            </w:r>
            <w:r>
              <w:rPr>
                <w:spacing w:val="-4"/>
              </w:rPr>
              <w:t xml:space="preserve"> </w:t>
            </w:r>
            <w:r>
              <w:t>shellfish</w:t>
            </w:r>
          </w:p>
        </w:tc>
        <w:tc>
          <w:tcPr>
            <w:tcW w:w="3358" w:type="dxa"/>
          </w:tcPr>
          <w:p w14:paraId="2EF59F30" w14:textId="77777777" w:rsidR="0001628C" w:rsidRDefault="003D5E89">
            <w:pPr>
              <w:pStyle w:val="TableParagraph"/>
              <w:spacing w:line="240" w:lineRule="auto"/>
              <w:ind w:left="823" w:right="287" w:hanging="509"/>
              <w:jc w:val="left"/>
            </w:pPr>
            <w:r>
              <w:t>Raw oysters, raw mussels, raw</w:t>
            </w:r>
            <w:r>
              <w:rPr>
                <w:spacing w:val="-47"/>
              </w:rPr>
              <w:t xml:space="preserve"> </w:t>
            </w:r>
            <w:r>
              <w:t>clams,</w:t>
            </w:r>
            <w:r>
              <w:rPr>
                <w:spacing w:val="-4"/>
              </w:rPr>
              <w:t xml:space="preserve"> </w:t>
            </w:r>
            <w:r>
              <w:t>raw</w:t>
            </w:r>
            <w:r>
              <w:rPr>
                <w:spacing w:val="-1"/>
              </w:rPr>
              <w:t xml:space="preserve"> </w:t>
            </w:r>
            <w:r>
              <w:t>scallops</w:t>
            </w:r>
          </w:p>
        </w:tc>
      </w:tr>
      <w:tr w:rsidR="0001628C" w14:paraId="470E3F70" w14:textId="77777777">
        <w:trPr>
          <w:trHeight w:val="803"/>
        </w:trPr>
        <w:tc>
          <w:tcPr>
            <w:tcW w:w="3356" w:type="dxa"/>
          </w:tcPr>
          <w:p w14:paraId="40F66EB3" w14:textId="77777777" w:rsidR="0001628C" w:rsidRDefault="003D5E89">
            <w:pPr>
              <w:pStyle w:val="TableParagraph"/>
              <w:ind w:left="950" w:right="940"/>
            </w:pPr>
            <w:r>
              <w:t>Second</w:t>
            </w:r>
          </w:p>
        </w:tc>
        <w:tc>
          <w:tcPr>
            <w:tcW w:w="3358" w:type="dxa"/>
          </w:tcPr>
          <w:p w14:paraId="4901965A" w14:textId="77777777" w:rsidR="0001628C" w:rsidRDefault="003D5E89">
            <w:pPr>
              <w:pStyle w:val="TableParagraph"/>
            </w:pPr>
            <w:r>
              <w:t>Cooked</w:t>
            </w:r>
            <w:r>
              <w:rPr>
                <w:spacing w:val="-1"/>
              </w:rPr>
              <w:t xml:space="preserve"> </w:t>
            </w:r>
            <w:r>
              <w:t>bivalve</w:t>
            </w:r>
            <w:r>
              <w:rPr>
                <w:spacing w:val="-3"/>
              </w:rPr>
              <w:t xml:space="preserve"> </w:t>
            </w:r>
            <w:r>
              <w:t>molluscan</w:t>
            </w:r>
            <w:r>
              <w:rPr>
                <w:spacing w:val="-2"/>
              </w:rPr>
              <w:t xml:space="preserve"> </w:t>
            </w:r>
            <w:r>
              <w:t>shellfish</w:t>
            </w:r>
          </w:p>
        </w:tc>
        <w:tc>
          <w:tcPr>
            <w:tcW w:w="3358" w:type="dxa"/>
          </w:tcPr>
          <w:p w14:paraId="5CF1E5EB" w14:textId="77777777" w:rsidR="0001628C" w:rsidRDefault="003D5E89">
            <w:pPr>
              <w:pStyle w:val="TableParagraph"/>
              <w:spacing w:line="240" w:lineRule="auto"/>
              <w:ind w:left="319" w:right="181" w:hanging="113"/>
              <w:jc w:val="left"/>
            </w:pPr>
            <w:r>
              <w:t>Cooked oysters, cooked mussels,</w:t>
            </w:r>
            <w:r>
              <w:rPr>
                <w:spacing w:val="-47"/>
              </w:rPr>
              <w:t xml:space="preserve"> </w:t>
            </w:r>
            <w:r>
              <w:t>cooked</w:t>
            </w:r>
            <w:r>
              <w:rPr>
                <w:spacing w:val="-4"/>
              </w:rPr>
              <w:t xml:space="preserve"> </w:t>
            </w:r>
            <w:r>
              <w:t>clams, cooked</w:t>
            </w:r>
            <w:r>
              <w:rPr>
                <w:spacing w:val="-2"/>
              </w:rPr>
              <w:t xml:space="preserve"> </w:t>
            </w:r>
            <w:r>
              <w:t>scallops</w:t>
            </w:r>
          </w:p>
        </w:tc>
      </w:tr>
      <w:tr w:rsidR="0001628C" w14:paraId="5C1CF621" w14:textId="77777777">
        <w:trPr>
          <w:trHeight w:val="806"/>
        </w:trPr>
        <w:tc>
          <w:tcPr>
            <w:tcW w:w="3356" w:type="dxa"/>
          </w:tcPr>
          <w:p w14:paraId="08A48814" w14:textId="77777777" w:rsidR="0001628C" w:rsidRDefault="003D5E89">
            <w:pPr>
              <w:pStyle w:val="TableParagraph"/>
              <w:spacing w:before="1" w:line="240" w:lineRule="auto"/>
              <w:ind w:left="950" w:right="940"/>
            </w:pPr>
            <w:r>
              <w:t>Third</w:t>
            </w:r>
          </w:p>
        </w:tc>
        <w:tc>
          <w:tcPr>
            <w:tcW w:w="3358" w:type="dxa"/>
          </w:tcPr>
          <w:p w14:paraId="2B051952" w14:textId="77777777" w:rsidR="0001628C" w:rsidRDefault="003D5E89">
            <w:pPr>
              <w:pStyle w:val="TableParagraph"/>
              <w:spacing w:before="3" w:line="237" w:lineRule="auto"/>
              <w:ind w:left="494" w:right="334" w:hanging="130"/>
              <w:jc w:val="left"/>
            </w:pPr>
            <w:r>
              <w:t>Other raw seafood, excluding</w:t>
            </w:r>
            <w:r>
              <w:rPr>
                <w:spacing w:val="-48"/>
              </w:rPr>
              <w:t xml:space="preserve"> </w:t>
            </w:r>
            <w:r>
              <w:t>bivalve</w:t>
            </w:r>
            <w:r>
              <w:rPr>
                <w:spacing w:val="-4"/>
              </w:rPr>
              <w:t xml:space="preserve"> </w:t>
            </w:r>
            <w:r>
              <w:t>molluscan</w:t>
            </w:r>
            <w:r>
              <w:rPr>
                <w:spacing w:val="-4"/>
              </w:rPr>
              <w:t xml:space="preserve"> </w:t>
            </w:r>
            <w:r>
              <w:t>shellfish</w:t>
            </w:r>
          </w:p>
        </w:tc>
        <w:tc>
          <w:tcPr>
            <w:tcW w:w="3358" w:type="dxa"/>
          </w:tcPr>
          <w:p w14:paraId="7DA91F26" w14:textId="77777777" w:rsidR="0001628C" w:rsidRDefault="003D5E89">
            <w:pPr>
              <w:pStyle w:val="TableParagraph"/>
              <w:spacing w:before="3" w:line="237" w:lineRule="auto"/>
              <w:ind w:left="321" w:right="300" w:firstLine="141"/>
              <w:jc w:val="left"/>
            </w:pPr>
            <w:r>
              <w:t>Raw tuna, raw salmon, raw</w:t>
            </w:r>
            <w:r>
              <w:rPr>
                <w:spacing w:val="1"/>
              </w:rPr>
              <w:t xml:space="preserve"> </w:t>
            </w:r>
            <w:r>
              <w:t>shrimp,</w:t>
            </w:r>
            <w:r>
              <w:rPr>
                <w:spacing w:val="-2"/>
              </w:rPr>
              <w:t xml:space="preserve"> </w:t>
            </w:r>
            <w:r>
              <w:t>raw</w:t>
            </w:r>
            <w:r>
              <w:rPr>
                <w:spacing w:val="-1"/>
              </w:rPr>
              <w:t xml:space="preserve"> </w:t>
            </w:r>
            <w:r>
              <w:t>crab,</w:t>
            </w:r>
            <w:r>
              <w:rPr>
                <w:spacing w:val="-1"/>
              </w:rPr>
              <w:t xml:space="preserve"> </w:t>
            </w:r>
            <w:r>
              <w:t>raw</w:t>
            </w:r>
            <w:r>
              <w:rPr>
                <w:spacing w:val="-4"/>
              </w:rPr>
              <w:t xml:space="preserve"> </w:t>
            </w:r>
            <w:r>
              <w:t>octopus</w:t>
            </w:r>
          </w:p>
        </w:tc>
      </w:tr>
      <w:tr w:rsidR="0001628C" w14:paraId="35D16246" w14:textId="77777777">
        <w:trPr>
          <w:trHeight w:val="806"/>
        </w:trPr>
        <w:tc>
          <w:tcPr>
            <w:tcW w:w="3356" w:type="dxa"/>
          </w:tcPr>
          <w:p w14:paraId="5E1B3D9B" w14:textId="77777777" w:rsidR="0001628C" w:rsidRDefault="003D5E89">
            <w:pPr>
              <w:pStyle w:val="TableParagraph"/>
              <w:ind w:left="950" w:right="940"/>
            </w:pPr>
            <w:r>
              <w:t>Fourth</w:t>
            </w:r>
          </w:p>
        </w:tc>
        <w:tc>
          <w:tcPr>
            <w:tcW w:w="3358" w:type="dxa"/>
          </w:tcPr>
          <w:p w14:paraId="5617598B" w14:textId="77777777" w:rsidR="0001628C" w:rsidRDefault="003D5E89">
            <w:pPr>
              <w:pStyle w:val="TableParagraph"/>
              <w:spacing w:line="240" w:lineRule="auto"/>
              <w:ind w:left="955" w:right="262" w:hanging="668"/>
              <w:jc w:val="left"/>
            </w:pPr>
            <w:r>
              <w:t>Cooked fish, excluding shellfish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crustaceans</w:t>
            </w:r>
          </w:p>
        </w:tc>
        <w:tc>
          <w:tcPr>
            <w:tcW w:w="3358" w:type="dxa"/>
          </w:tcPr>
          <w:p w14:paraId="58D31B76" w14:textId="77777777" w:rsidR="0001628C" w:rsidRDefault="003D5E89">
            <w:pPr>
              <w:pStyle w:val="TableParagraph"/>
              <w:spacing w:line="240" w:lineRule="auto"/>
              <w:ind w:left="969" w:right="331" w:hanging="615"/>
              <w:jc w:val="left"/>
            </w:pPr>
            <w:r>
              <w:t>Cooked tuna, cooked salmon,</w:t>
            </w:r>
            <w:r>
              <w:rPr>
                <w:spacing w:val="-47"/>
              </w:rPr>
              <w:t xml:space="preserve"> </w:t>
            </w:r>
            <w:r>
              <w:t>cooked</w:t>
            </w:r>
            <w:r>
              <w:rPr>
                <w:spacing w:val="-3"/>
              </w:rPr>
              <w:t xml:space="preserve"> </w:t>
            </w:r>
            <w:r>
              <w:t>octopus</w:t>
            </w:r>
          </w:p>
        </w:tc>
      </w:tr>
      <w:tr w:rsidR="0001628C" w14:paraId="5EEBED61" w14:textId="77777777">
        <w:trPr>
          <w:trHeight w:val="806"/>
        </w:trPr>
        <w:tc>
          <w:tcPr>
            <w:tcW w:w="3356" w:type="dxa"/>
          </w:tcPr>
          <w:p w14:paraId="3CB3DA31" w14:textId="77777777" w:rsidR="0001628C" w:rsidRDefault="003D5E89">
            <w:pPr>
              <w:pStyle w:val="TableParagraph"/>
              <w:ind w:left="950" w:right="941"/>
            </w:pPr>
            <w:r>
              <w:t>Fifth</w:t>
            </w:r>
          </w:p>
        </w:tc>
        <w:tc>
          <w:tcPr>
            <w:tcW w:w="3358" w:type="dxa"/>
          </w:tcPr>
          <w:p w14:paraId="5AC65D92" w14:textId="77777777" w:rsidR="0001628C" w:rsidRDefault="003D5E89">
            <w:pPr>
              <w:pStyle w:val="TableParagraph"/>
              <w:ind w:right="101"/>
            </w:pPr>
            <w:r>
              <w:t>Cooked</w:t>
            </w:r>
            <w:r>
              <w:rPr>
                <w:spacing w:val="-1"/>
              </w:rPr>
              <w:t xml:space="preserve"> </w:t>
            </w:r>
            <w:r>
              <w:t>crustaceans</w:t>
            </w:r>
          </w:p>
        </w:tc>
        <w:tc>
          <w:tcPr>
            <w:tcW w:w="3358" w:type="dxa"/>
          </w:tcPr>
          <w:p w14:paraId="070086BB" w14:textId="77777777" w:rsidR="0001628C" w:rsidRDefault="003D5E89">
            <w:pPr>
              <w:pStyle w:val="TableParagraph"/>
              <w:spacing w:line="240" w:lineRule="auto"/>
              <w:ind w:right="103"/>
            </w:pPr>
            <w:r>
              <w:t>Cooked shrimp, cooked crab,</w:t>
            </w:r>
            <w:r>
              <w:rPr>
                <w:spacing w:val="-48"/>
              </w:rPr>
              <w:t xml:space="preserve"> </w:t>
            </w:r>
            <w:r>
              <w:t>cooked</w:t>
            </w:r>
            <w:r>
              <w:rPr>
                <w:spacing w:val="-2"/>
              </w:rPr>
              <w:t xml:space="preserve"> </w:t>
            </w:r>
            <w:r>
              <w:t>lobster, cooked</w:t>
            </w:r>
          </w:p>
          <w:p w14:paraId="3A3D5B7F" w14:textId="77777777" w:rsidR="0001628C" w:rsidRDefault="003D5E89">
            <w:pPr>
              <w:pStyle w:val="TableParagraph"/>
              <w:spacing w:line="249" w:lineRule="exact"/>
              <w:ind w:right="104"/>
            </w:pPr>
            <w:r>
              <w:t>crayfish/crawfish</w:t>
            </w:r>
          </w:p>
        </w:tc>
      </w:tr>
      <w:bookmarkEnd w:id="0"/>
    </w:tbl>
    <w:p w14:paraId="1BFE7EB4" w14:textId="77777777" w:rsidR="00607865" w:rsidRDefault="00607865"/>
    <w:sectPr w:rsidR="00607865">
      <w:type w:val="continuous"/>
      <w:pgSz w:w="12240" w:h="15840"/>
      <w:pgMar w:top="10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8C"/>
    <w:rsid w:val="0001628C"/>
    <w:rsid w:val="00251AB5"/>
    <w:rsid w:val="003B327D"/>
    <w:rsid w:val="003D5E89"/>
    <w:rsid w:val="003E7AAB"/>
    <w:rsid w:val="00607865"/>
    <w:rsid w:val="00777179"/>
    <w:rsid w:val="009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36C0"/>
  <w15:docId w15:val="{D9B05F83-7398-4166-8C92-ABBD571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2856" w:right="287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4" w:right="10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Stephanie (CDC/OID/NCEZID) (CTR)</dc:creator>
  <cp:lastModifiedBy>David Coomes</cp:lastModifiedBy>
  <cp:revision>2</cp:revision>
  <dcterms:created xsi:type="dcterms:W3CDTF">2021-05-20T18:06:00Z</dcterms:created>
  <dcterms:modified xsi:type="dcterms:W3CDTF">2021-05-20T18:06:00Z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